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7A36C" w14:textId="2D954492" w:rsidR="00EC0035" w:rsidRPr="004E64AF" w:rsidRDefault="00C266C8" w:rsidP="00EC0035">
      <w:pPr>
        <w:overflowPunct/>
        <w:autoSpaceDE/>
        <w:autoSpaceDN/>
        <w:adjustRightInd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</w:rPr>
      </w:pPr>
      <w:bookmarkStart w:id="0" w:name="_GoBack"/>
      <w:bookmarkEnd w:id="0"/>
      <w:r w:rsidRPr="004E64AF">
        <w:rPr>
          <w:rFonts w:eastAsia="Times New Roman" w:cs="Times New Roman"/>
          <w:b/>
          <w:bCs/>
          <w:color w:val="010101"/>
          <w:kern w:val="36"/>
          <w:sz w:val="28"/>
          <w:szCs w:val="28"/>
        </w:rPr>
        <w:t>Порядок</w:t>
      </w:r>
    </w:p>
    <w:p w14:paraId="493C9A8A" w14:textId="172D9A5D" w:rsidR="00C266C8" w:rsidRPr="004E64AF" w:rsidRDefault="00C266C8" w:rsidP="00EC0035">
      <w:pPr>
        <w:overflowPunct/>
        <w:autoSpaceDE/>
        <w:autoSpaceDN/>
        <w:adjustRightInd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10101"/>
          <w:kern w:val="36"/>
          <w:sz w:val="28"/>
          <w:szCs w:val="28"/>
        </w:rPr>
        <w:t>действий должностных лиц и персонала организаций при получении сообщений, содержащих угрозы террористического характера</w:t>
      </w:r>
    </w:p>
    <w:p w14:paraId="3CDEF147" w14:textId="77777777" w:rsidR="007A0DC9" w:rsidRPr="004E64AF" w:rsidRDefault="007A0DC9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5087B5F1" w14:textId="63793B25" w:rsidR="002E2215" w:rsidRPr="004E64AF" w:rsidRDefault="002E2215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 w:rsidRPr="004E64AF">
        <w:rPr>
          <w:rFonts w:cs="Times New Roman"/>
          <w:sz w:val="28"/>
          <w:szCs w:val="28"/>
          <w:shd w:val="clear" w:color="auto" w:fill="FFFFFF"/>
        </w:rPr>
        <w:t xml:space="preserve">При </w:t>
      </w:r>
      <w:r w:rsidR="00890F47" w:rsidRPr="004E64AF">
        <w:rPr>
          <w:rFonts w:cs="Times New Roman"/>
          <w:sz w:val="28"/>
          <w:szCs w:val="28"/>
          <w:shd w:val="clear" w:color="auto" w:fill="FFFFFF"/>
        </w:rPr>
        <w:t xml:space="preserve">получении </w:t>
      </w:r>
      <w:r w:rsidRPr="004E64AF">
        <w:rPr>
          <w:rFonts w:cs="Times New Roman"/>
          <w:sz w:val="28"/>
          <w:szCs w:val="28"/>
          <w:shd w:val="clear" w:color="auto" w:fill="FFFFFF"/>
        </w:rPr>
        <w:t xml:space="preserve">по телефону </w:t>
      </w:r>
      <w:r w:rsidRPr="004E64AF">
        <w:rPr>
          <w:rFonts w:eastAsia="Times New Roman" w:cs="Times New Roman"/>
          <w:kern w:val="36"/>
          <w:sz w:val="28"/>
          <w:szCs w:val="28"/>
        </w:rPr>
        <w:t>сообщений, содержащих угрозы террористического характера</w:t>
      </w:r>
      <w:r w:rsidR="007A0DC9" w:rsidRPr="004E64AF">
        <w:rPr>
          <w:rFonts w:eastAsia="Times New Roman" w:cs="Times New Roman"/>
          <w:kern w:val="36"/>
          <w:sz w:val="28"/>
          <w:szCs w:val="28"/>
        </w:rPr>
        <w:t>,</w:t>
      </w:r>
      <w:r w:rsidRPr="004E64AF">
        <w:rPr>
          <w:rFonts w:cs="Times New Roman"/>
          <w:sz w:val="28"/>
          <w:szCs w:val="28"/>
          <w:shd w:val="clear" w:color="auto" w:fill="FFFFFF"/>
        </w:rPr>
        <w:t xml:space="preserve"> необходимо: не зависимо от ситуации, помнить, что разговор несет важную информацию, поэтому при разговоре старайтесь запомнить или зафиксировать как можно больше сведений:</w:t>
      </w:r>
    </w:p>
    <w:p w14:paraId="34F85AAF" w14:textId="3D4B807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1. Постарайтесь дословно запомнить разговор и зафиксировать его на бумаге.</w:t>
      </w:r>
    </w:p>
    <w:p w14:paraId="1462DF0B" w14:textId="5A667E23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По ходу разговора отметьте пол, возраст звонившего и особенности его речи: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голос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(громкий,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тихий,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низкий,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высокий);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темп речи (быстрый, медленный);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произношение (отчётливое, искажённое, с заиканием, шепелявое, акцент, диалект);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манера речи (с издёвкой, развязная, нецензурные выражения).</w:t>
      </w:r>
    </w:p>
    <w:p w14:paraId="4BE86F89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14:paraId="51FC91C9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4. Характер звонка (городской, междугородный).</w:t>
      </w:r>
    </w:p>
    <w:p w14:paraId="015D81AF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5. Зафиксируйте время начала и конца разговора.</w:t>
      </w:r>
    </w:p>
    <w:p w14:paraId="4260B556" w14:textId="675A052F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6. В ходе разговора постарайтесь получить ответы на следующие вопросы: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куда, кому, по какому телефону звонит этот человек; какие конкретные требования он выдвигает; выдвигает требования он лично, выступает в роли посредника или представляет какую-то группу лиц; на каких условиях они согласны отказаться от задуманного;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br/>
        <w:t>как и когда с ними можно связаться; кому вы можете или должны сообщить об этом звонке.</w:t>
      </w:r>
    </w:p>
    <w:p w14:paraId="5690FB48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7. Если возможно, ещё в процессе разговора сообщите о нём руководству объекта, если нет – немедленно по его окончании.</w:t>
      </w:r>
    </w:p>
    <w:p w14:paraId="226C1A5B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14:paraId="6BFD8EAC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9. Не распространяйтесь о факте разговора и его содержании. Максимально ограничьте число людей, владеющих информацией.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7AFA5F81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14:paraId="21A94857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14:paraId="5FAFB4BC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12. Не вешайте телефонную трубку по окончании разговора.</w:t>
      </w:r>
    </w:p>
    <w:p w14:paraId="1D0B53A4" w14:textId="1DA86F5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13. В течение всего разговора сохраняйте терпение. Говорите спокойно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и вежливо, не прерывайте абонента.</w:t>
      </w:r>
    </w:p>
    <w:p w14:paraId="323F764F" w14:textId="70CFC7FB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Правила обращения с анонимными материалами,</w:t>
      </w:r>
      <w:r w:rsidR="00D94D3D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содержащими угрозы террористического характера</w:t>
      </w:r>
    </w:p>
    <w:p w14:paraId="498FD975" w14:textId="4B8E894A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14:paraId="03618DC9" w14:textId="5D5FEB8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Постарайтесь не оставлять на нём отпечатков своих пальцев.</w:t>
      </w:r>
    </w:p>
    <w:p w14:paraId="54CE58B6" w14:textId="5A82220F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3. Если документ поступил в конверте – его вскрытие производите только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с левой или правой стороны, аккуратно срезая кромку ножницами.</w:t>
      </w:r>
    </w:p>
    <w:p w14:paraId="0BF139AD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4. Сохраняйте всё: документ с текстом, любые вложения, конверт и упаковку, ничего не выбрасывайте.</w:t>
      </w:r>
    </w:p>
    <w:p w14:paraId="009AD41B" w14:textId="46886EF8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5. Не расширяйте круг лиц, знакомившихся с содержанием документа.</w:t>
      </w:r>
    </w:p>
    <w:p w14:paraId="4C8F1AF0" w14:textId="03E44285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6. Анонимные материалы направляйте в правоохранительные органы </w:t>
      </w:r>
      <w:r w:rsidR="00D94D3D" w:rsidRP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с сопроводительным письмом, в котором указываются конкретные признаки анонимных материалов (вид, количество, каким способом и на чём исполнены,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с каких слов начинается и какими заканчивается текст, наличие подписи и т.п.),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а также обстоятельства, связанные с их распространением, обнаружением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и получением.</w:t>
      </w:r>
    </w:p>
    <w:p w14:paraId="5E634493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14:paraId="19F2625E" w14:textId="7E08DB1A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8. Регистрационный штамп проставляется только на сопроводительных письмах организации и заявлениях граждан, передавших анонимные материалы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в инстанции.</w:t>
      </w:r>
    </w:p>
    <w:p w14:paraId="32666321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D717B70" w14:textId="5E6A630A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Рекомендации при работе с почтой, подозрительной</w:t>
      </w:r>
      <w:r w:rsidR="00EC0035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на заражение биологической субстанцией или химическим веществом</w:t>
      </w:r>
    </w:p>
    <w:p w14:paraId="6976B05A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Что такое «подозрительное письмо (бандероль)»?</w:t>
      </w:r>
    </w:p>
    <w:p w14:paraId="6F67855D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Некоторые характерные черты писем (бандеролей), которые должны удвоить подозрительность, включают:</w:t>
      </w:r>
    </w:p>
    <w:p w14:paraId="2D91440F" w14:textId="41C26CE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вы не ожидали этих писем от кого-то, кого вы знаете;</w:t>
      </w:r>
    </w:p>
    <w:p w14:paraId="6BFA4AAE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адресованы кому-либо, кто уже не работает в вашей организации, или имеют ещё какие-то неточности в адресе;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6616DA5" w14:textId="5AD7ACE8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имеют обратного адреса или имеют неправильный обратный адрес;</w:t>
      </w:r>
    </w:p>
    <w:p w14:paraId="61A5F186" w14:textId="7C0FD4B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необычны по весу, размеру, кривые по бокам или необычны по форме;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помечены ограничениями типа «Лично» и «Конфиденциально»;</w:t>
      </w:r>
    </w:p>
    <w:p w14:paraId="48E68807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 конвертах прощупывается (или торчат) проводки, конверты имеют странный запах или цвет;</w:t>
      </w:r>
    </w:p>
    <w:p w14:paraId="214A4130" w14:textId="38B39FCF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почтовая марка на конверте не соответствует городу и государству в обратном адресе.</w:t>
      </w:r>
    </w:p>
    <w:p w14:paraId="5E410570" w14:textId="77777777" w:rsidR="00251E02" w:rsidRDefault="00251E02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14:paraId="30CAE3A5" w14:textId="04697F3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Что делать, если вы получили подозрительное письмо по почте:</w:t>
      </w:r>
    </w:p>
    <w:p w14:paraId="4652E99E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вскрывайте конверт;</w:t>
      </w:r>
    </w:p>
    <w:p w14:paraId="1EBD168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положите его в пластиковый пакет;</w:t>
      </w:r>
    </w:p>
    <w:p w14:paraId="454B1463" w14:textId="6C59F84C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положите туда же лежащие в непосредственной близости с письмом предметы.</w:t>
      </w:r>
    </w:p>
    <w:p w14:paraId="1B570FA8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7F11F4D" w14:textId="1CF5C36E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Действия при обнаружении взрывного устройства</w:t>
      </w:r>
      <w:r w:rsidR="00D94D3D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в почтовом отправлении </w:t>
      </w:r>
    </w:p>
    <w:p w14:paraId="55C9A1D0" w14:textId="77777777" w:rsidR="00D94D3D" w:rsidRPr="004E64AF" w:rsidRDefault="00D94D3D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Основные признаки:</w:t>
      </w:r>
    </w:p>
    <w:p w14:paraId="73A5243C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толщина письма от 3-х мм и выше, при этом в конверте (пакете, бандероли) есть отдельные утолщения;</w:t>
      </w:r>
    </w:p>
    <w:p w14:paraId="0A2459F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смещение центра тяжести письма к одной из его сторон;</w:t>
      </w:r>
    </w:p>
    <w:p w14:paraId="6E78EDC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в конверте перемещающихся предметов либо порошка;</w:t>
      </w:r>
    </w:p>
    <w:p w14:paraId="6C5CDEF7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во вложении металлических либо пластмассовых предметов;</w:t>
      </w:r>
    </w:p>
    <w:p w14:paraId="7AC101B3" w14:textId="4EEFEF99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на конверте масляных пятен, проколов, металлических кнопок, полосок и т.д.;</w:t>
      </w:r>
    </w:p>
    <w:p w14:paraId="7E79CC85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необычного запаха (миндаля, жжёной пластмассы и др.);</w:t>
      </w:r>
    </w:p>
    <w:p w14:paraId="191F7209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«тиканье» в бандеролях и посылках.</w:t>
      </w:r>
    </w:p>
    <w:p w14:paraId="25D6328E" w14:textId="255E38FF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Всё это позволяет предполагать наличие в отправлении взрывной начинки.</w:t>
      </w:r>
    </w:p>
    <w:p w14:paraId="5773CAD9" w14:textId="76063D50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 числу вспомогательных признаков следует отнести:</w:t>
      </w:r>
    </w:p>
    <w:p w14:paraId="35014FE5" w14:textId="0E62D544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особо тщательную заделку письма, бандероли, посылки, в том числе скотчем;</w:t>
      </w:r>
    </w:p>
    <w:p w14:paraId="092A63F3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подписей «лично в руки», «вскрыть только лично», «вручить лично», «секретно», «только вам» и т.п.;</w:t>
      </w:r>
    </w:p>
    <w:p w14:paraId="265E0A78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отсутствие обратного адреса, фамилии, неразборчивое их написание, вымышленный адрес;</w:t>
      </w:r>
    </w:p>
    <w:p w14:paraId="2CE83FEB" w14:textId="00C4733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нестандартная упаковка.</w:t>
      </w:r>
    </w:p>
    <w:p w14:paraId="72243BFF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4E8EBF7" w14:textId="26A063DF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Порядок действий</w:t>
      </w:r>
    </w:p>
    <w:p w14:paraId="7B9B992D" w14:textId="7D6EAD59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1. При получении сообщения о заложенном взрывном устройстве, либо обнаружении предметов, вызывающих такое подозрение, немедленно поставьте </w:t>
      </w:r>
      <w:r w:rsidR="00D94D3D" w:rsidRP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14:paraId="773A4503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14:paraId="56B15B84" w14:textId="02DBD98F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3. По прибытии специалистов по обнаружению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взрывного </w:t>
      </w:r>
      <w:r w:rsidR="003173ED">
        <w:rPr>
          <w:rFonts w:eastAsia="Times New Roman" w:cs="Times New Roman"/>
          <w:color w:val="000000"/>
          <w:sz w:val="28"/>
          <w:szCs w:val="28"/>
        </w:rPr>
        <w:t xml:space="preserve">устройства </w:t>
      </w:r>
      <w:r w:rsidR="003173ED" w:rsidRPr="004E64AF">
        <w:rPr>
          <w:rFonts w:eastAsia="Times New Roman" w:cs="Times New Roman"/>
          <w:color w:val="000000"/>
          <w:sz w:val="28"/>
          <w:szCs w:val="28"/>
        </w:rPr>
        <w:t>действовать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 в соответствии с их указаниями.</w:t>
      </w:r>
    </w:p>
    <w:p w14:paraId="064E2B5E" w14:textId="77777777" w:rsidR="00A0036F" w:rsidRDefault="00A0036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45A8F41" w14:textId="76005873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Правила поведения при обнаружении взрывного устройства, либо предмета похожего на взрывное устройство  </w:t>
      </w:r>
    </w:p>
    <w:p w14:paraId="11368D01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14:paraId="74CC116A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lastRenderedPageBreak/>
        <w:t>Не допускать заливание водой, засыпку грунтом, покрытие плотными тканями подозрительного предмета.</w:t>
      </w:r>
    </w:p>
    <w:p w14:paraId="53C4F63C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пользоваться электро-, радиоаппаратурой, переговорными устройствами, рацией вблизи подозрительного предмета.</w:t>
      </w:r>
    </w:p>
    <w:p w14:paraId="462736D6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оказывать теплового, звукового, светового, механического воздействия на взрывоопасный предмет.</w:t>
      </w:r>
    </w:p>
    <w:p w14:paraId="696F7DD1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прикасаться к взрывоопасному предмету, находясь в одежде из синтетических волокон. </w:t>
      </w:r>
    </w:p>
    <w:p w14:paraId="77698857" w14:textId="77777777" w:rsidR="00A0036F" w:rsidRDefault="00A0036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53A9F1A" w14:textId="061BE695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В качестве мер предупредительного характера рекомендуем:</w:t>
      </w:r>
    </w:p>
    <w:p w14:paraId="64F6A307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ужесточение пропускного режима при входе и въезде на территорию объекта, установку систем сигнализации, аудио– и видеозаписи;</w:t>
      </w:r>
    </w:p>
    <w:p w14:paraId="64D923AD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</w:p>
    <w:p w14:paraId="793A7F68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периодическую комиссионную проверку складских помещений;</w:t>
      </w:r>
    </w:p>
    <w:p w14:paraId="5436B7A2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более тщательный подбор и проверку кадров;</w:t>
      </w:r>
    </w:p>
    <w:p w14:paraId="522FAF9F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организацию и проведение совместно с сотрудниками МЧС России, правоохранительных органов инструктажей и практических занятий по действиям при чрезвычайных происшествиях;</w:t>
      </w:r>
    </w:p>
    <w:p w14:paraId="0A714493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при заключении договоров на сдачу складских помещений в аренду                             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14:paraId="36607EC4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России, либо </w:t>
      </w:r>
      <w:r w:rsidRPr="004E64AF">
        <w:rPr>
          <w:rFonts w:cs="Times New Roman"/>
          <w:sz w:val="28"/>
          <w:szCs w:val="28"/>
        </w:rPr>
        <w:t>позвоните на номер экстренных оперативных служб 112</w:t>
      </w:r>
      <w:r w:rsidRPr="004E64AF">
        <w:rPr>
          <w:rFonts w:eastAsia="Times New Roman" w:cs="Times New Roman"/>
          <w:color w:val="000000"/>
          <w:sz w:val="28"/>
          <w:szCs w:val="28"/>
        </w:rPr>
        <w:t>.</w:t>
      </w:r>
    </w:p>
    <w:p w14:paraId="2EEBE3FF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 xml:space="preserve">В случае необходимости приступите к эвакуации людей согласно имеющемуся плану. </w:t>
      </w:r>
    </w:p>
    <w:p w14:paraId="2A96695B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Важно</w:t>
      </w:r>
      <w:r w:rsidRPr="004E64AF">
        <w:rPr>
          <w:rFonts w:eastAsia="Times New Roman" w:cs="Times New Roman"/>
          <w:color w:val="000000"/>
          <w:sz w:val="28"/>
          <w:szCs w:val="28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</w:p>
    <w:p w14:paraId="675498FB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МЧС России, в т.ч. пожарной охраны, скорой медицинской помощи, служб эксплуатации.</w:t>
      </w:r>
    </w:p>
    <w:p w14:paraId="337DB59E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</w:p>
    <w:p w14:paraId="78AD3F78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Во всех случаях дайте указание не приближаться, не трогать, не вскрывать                и не перемещать находку. Зафиксируйте время ее обнаружения.</w:t>
      </w:r>
    </w:p>
    <w:p w14:paraId="4192B5F0" w14:textId="77777777" w:rsidR="00204AAF" w:rsidRPr="004E64AF" w:rsidRDefault="00204AA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B3F1A86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DD4E3EF" w14:textId="08252DEC" w:rsidR="00E624EF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Рекомендуемые зоны эвакуации (и оцепления)</w:t>
      </w:r>
      <w:r w:rsidR="00A70EC6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при обнаружении взрывного устройства или предмета, подозрительного на взрывное устройство</w:t>
      </w:r>
    </w:p>
    <w:p w14:paraId="22C0CF38" w14:textId="77777777" w:rsidR="00204AAF" w:rsidRPr="004E64AF" w:rsidRDefault="00204AA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6141"/>
        <w:gridCol w:w="3352"/>
      </w:tblGrid>
      <w:tr w:rsidR="00E624EF" w:rsidRPr="004E64AF" w14:paraId="3CC2D2F8" w14:textId="77777777" w:rsidTr="00204AAF">
        <w:tc>
          <w:tcPr>
            <w:tcW w:w="562" w:type="dxa"/>
          </w:tcPr>
          <w:p w14:paraId="61F11B93" w14:textId="3619E1D7" w:rsidR="00E624EF" w:rsidRPr="003C4D1A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C4D1A">
              <w:rPr>
                <w:rFonts w:eastAsia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41" w:type="dxa"/>
          </w:tcPr>
          <w:p w14:paraId="79BBC7FE" w14:textId="1F28EFBA" w:rsidR="00E624EF" w:rsidRPr="003C4D1A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C4D1A">
              <w:rPr>
                <w:rFonts w:eastAsia="Times New Roman" w:cs="Times New Roman"/>
                <w:color w:val="000000"/>
                <w:sz w:val="28"/>
                <w:szCs w:val="28"/>
              </w:rPr>
              <w:t>Взрывное устройство или предмет</w:t>
            </w:r>
          </w:p>
        </w:tc>
        <w:tc>
          <w:tcPr>
            <w:tcW w:w="3352" w:type="dxa"/>
          </w:tcPr>
          <w:p w14:paraId="33F44333" w14:textId="2837FE18" w:rsidR="00E624EF" w:rsidRPr="003C4D1A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C4D1A">
              <w:rPr>
                <w:rFonts w:eastAsia="Times New Roman" w:cs="Times New Roman"/>
                <w:color w:val="000000"/>
                <w:sz w:val="28"/>
                <w:szCs w:val="28"/>
              </w:rPr>
              <w:t>Радиус зоны оцепления</w:t>
            </w:r>
          </w:p>
        </w:tc>
      </w:tr>
      <w:tr w:rsidR="00E624EF" w:rsidRPr="004E64AF" w14:paraId="75E266A1" w14:textId="77777777" w:rsidTr="00204AAF">
        <w:tc>
          <w:tcPr>
            <w:tcW w:w="562" w:type="dxa"/>
          </w:tcPr>
          <w:p w14:paraId="19244CF6" w14:textId="24F37ADB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41" w:type="dxa"/>
          </w:tcPr>
          <w:p w14:paraId="20A93D2E" w14:textId="6174901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Граната РГД-5</w:t>
            </w:r>
          </w:p>
        </w:tc>
        <w:tc>
          <w:tcPr>
            <w:tcW w:w="3352" w:type="dxa"/>
          </w:tcPr>
          <w:p w14:paraId="179CCFF3" w14:textId="1372FE88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50 м</w:t>
            </w:r>
          </w:p>
        </w:tc>
      </w:tr>
      <w:tr w:rsidR="00E624EF" w:rsidRPr="004E64AF" w14:paraId="69385ECA" w14:textId="77777777" w:rsidTr="00204AAF">
        <w:tc>
          <w:tcPr>
            <w:tcW w:w="562" w:type="dxa"/>
          </w:tcPr>
          <w:p w14:paraId="09882807" w14:textId="092D27F1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41" w:type="dxa"/>
          </w:tcPr>
          <w:p w14:paraId="477439A2" w14:textId="6A71945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Граната Ф-1</w:t>
            </w:r>
          </w:p>
        </w:tc>
        <w:tc>
          <w:tcPr>
            <w:tcW w:w="3352" w:type="dxa"/>
          </w:tcPr>
          <w:p w14:paraId="50D3D251" w14:textId="6F96072A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200 м</w:t>
            </w:r>
          </w:p>
        </w:tc>
      </w:tr>
      <w:tr w:rsidR="00E624EF" w:rsidRPr="004E64AF" w14:paraId="37BB0314" w14:textId="77777777" w:rsidTr="00204AAF">
        <w:tc>
          <w:tcPr>
            <w:tcW w:w="562" w:type="dxa"/>
          </w:tcPr>
          <w:p w14:paraId="329964C5" w14:textId="5E7025D1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41" w:type="dxa"/>
          </w:tcPr>
          <w:p w14:paraId="41BB96EF" w14:textId="6DDBB974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Тротиловая шашка </w:t>
            </w:r>
          </w:p>
        </w:tc>
        <w:tc>
          <w:tcPr>
            <w:tcW w:w="3352" w:type="dxa"/>
          </w:tcPr>
          <w:p w14:paraId="549A1F99" w14:textId="699DD449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45 м</w:t>
            </w:r>
          </w:p>
        </w:tc>
      </w:tr>
      <w:tr w:rsidR="00E624EF" w:rsidRPr="004E64AF" w14:paraId="7B26D2B4" w14:textId="77777777" w:rsidTr="00204AAF">
        <w:tc>
          <w:tcPr>
            <w:tcW w:w="562" w:type="dxa"/>
          </w:tcPr>
          <w:p w14:paraId="1C71EF95" w14:textId="16E446A2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41" w:type="dxa"/>
          </w:tcPr>
          <w:p w14:paraId="5A00EE62" w14:textId="1EBE9F6E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Тротиловая шашка – 400 г</w:t>
            </w:r>
          </w:p>
        </w:tc>
        <w:tc>
          <w:tcPr>
            <w:tcW w:w="3352" w:type="dxa"/>
          </w:tcPr>
          <w:p w14:paraId="70C61BD6" w14:textId="66E5E2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55 м</w:t>
            </w:r>
          </w:p>
        </w:tc>
      </w:tr>
      <w:tr w:rsidR="00E624EF" w:rsidRPr="004E64AF" w14:paraId="1D063441" w14:textId="77777777" w:rsidTr="00204AAF">
        <w:tc>
          <w:tcPr>
            <w:tcW w:w="562" w:type="dxa"/>
          </w:tcPr>
          <w:p w14:paraId="1B6E4E3C" w14:textId="327E4E4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41" w:type="dxa"/>
          </w:tcPr>
          <w:p w14:paraId="71BC1D99" w14:textId="422C09C4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Пивная банка – 0,33 л</w:t>
            </w:r>
          </w:p>
        </w:tc>
        <w:tc>
          <w:tcPr>
            <w:tcW w:w="3352" w:type="dxa"/>
          </w:tcPr>
          <w:p w14:paraId="58C87390" w14:textId="15699D2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60 м</w:t>
            </w:r>
          </w:p>
        </w:tc>
      </w:tr>
      <w:tr w:rsidR="00E624EF" w:rsidRPr="004E64AF" w14:paraId="629E4C1C" w14:textId="77777777" w:rsidTr="00204AAF">
        <w:tc>
          <w:tcPr>
            <w:tcW w:w="562" w:type="dxa"/>
          </w:tcPr>
          <w:p w14:paraId="120F6C65" w14:textId="2D54FA5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41" w:type="dxa"/>
          </w:tcPr>
          <w:p w14:paraId="74BE1CCE" w14:textId="04EC5F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Мина – МОН-50</w:t>
            </w:r>
          </w:p>
        </w:tc>
        <w:tc>
          <w:tcPr>
            <w:tcW w:w="3352" w:type="dxa"/>
          </w:tcPr>
          <w:p w14:paraId="3C63FAEE" w14:textId="1C2CCE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85 м</w:t>
            </w:r>
          </w:p>
        </w:tc>
      </w:tr>
      <w:tr w:rsidR="00E624EF" w:rsidRPr="004E64AF" w14:paraId="7B023452" w14:textId="77777777" w:rsidTr="00204AAF">
        <w:tc>
          <w:tcPr>
            <w:tcW w:w="562" w:type="dxa"/>
          </w:tcPr>
          <w:p w14:paraId="6DDAAB3B" w14:textId="4B58B442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41" w:type="dxa"/>
          </w:tcPr>
          <w:p w14:paraId="78E7E733" w14:textId="711E752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Чемодан (кейс)</w:t>
            </w:r>
          </w:p>
        </w:tc>
        <w:tc>
          <w:tcPr>
            <w:tcW w:w="3352" w:type="dxa"/>
          </w:tcPr>
          <w:p w14:paraId="739D779A" w14:textId="5DD84D8C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230 м</w:t>
            </w:r>
          </w:p>
        </w:tc>
      </w:tr>
      <w:tr w:rsidR="00E624EF" w:rsidRPr="004E64AF" w14:paraId="3DB703AC" w14:textId="77777777" w:rsidTr="00204AAF">
        <w:tc>
          <w:tcPr>
            <w:tcW w:w="562" w:type="dxa"/>
          </w:tcPr>
          <w:p w14:paraId="6D706A3F" w14:textId="5B4EDBB3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141" w:type="dxa"/>
          </w:tcPr>
          <w:p w14:paraId="0CA8E8E7" w14:textId="318522BA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Дорожный чемодан</w:t>
            </w:r>
          </w:p>
        </w:tc>
        <w:tc>
          <w:tcPr>
            <w:tcW w:w="3352" w:type="dxa"/>
          </w:tcPr>
          <w:p w14:paraId="46FB9CB1" w14:textId="392CA9E2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250 м</w:t>
            </w:r>
          </w:p>
        </w:tc>
      </w:tr>
      <w:tr w:rsidR="00E624EF" w:rsidRPr="004E64AF" w14:paraId="1AC7F40D" w14:textId="77777777" w:rsidTr="00204AAF">
        <w:tc>
          <w:tcPr>
            <w:tcW w:w="562" w:type="dxa"/>
          </w:tcPr>
          <w:p w14:paraId="3228A365" w14:textId="64471AFA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41" w:type="dxa"/>
          </w:tcPr>
          <w:p w14:paraId="5C1119E7" w14:textId="43A88CBF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Автомобиль «Жигули»</w:t>
            </w:r>
          </w:p>
        </w:tc>
        <w:tc>
          <w:tcPr>
            <w:tcW w:w="3352" w:type="dxa"/>
          </w:tcPr>
          <w:p w14:paraId="171BA64F" w14:textId="4597DD9E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460 м</w:t>
            </w:r>
          </w:p>
        </w:tc>
      </w:tr>
      <w:tr w:rsidR="00AD447F" w:rsidRPr="004E64AF" w14:paraId="254A328B" w14:textId="77777777" w:rsidTr="00204AAF">
        <w:tc>
          <w:tcPr>
            <w:tcW w:w="562" w:type="dxa"/>
          </w:tcPr>
          <w:p w14:paraId="6270CC68" w14:textId="6A954148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141" w:type="dxa"/>
          </w:tcPr>
          <w:p w14:paraId="1C5EA519" w14:textId="000859B2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Автомобиль «Волга»</w:t>
            </w:r>
          </w:p>
        </w:tc>
        <w:tc>
          <w:tcPr>
            <w:tcW w:w="3352" w:type="dxa"/>
          </w:tcPr>
          <w:p w14:paraId="75F07876" w14:textId="59F126EF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580 м</w:t>
            </w:r>
          </w:p>
        </w:tc>
      </w:tr>
      <w:tr w:rsidR="00E624EF" w:rsidRPr="004E64AF" w14:paraId="5EC8EE4F" w14:textId="77777777" w:rsidTr="00204AAF">
        <w:tc>
          <w:tcPr>
            <w:tcW w:w="562" w:type="dxa"/>
          </w:tcPr>
          <w:p w14:paraId="637549B0" w14:textId="40420598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141" w:type="dxa"/>
          </w:tcPr>
          <w:p w14:paraId="2598C6DF" w14:textId="377D1708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Микроавтобус</w:t>
            </w:r>
          </w:p>
        </w:tc>
        <w:tc>
          <w:tcPr>
            <w:tcW w:w="3352" w:type="dxa"/>
          </w:tcPr>
          <w:p w14:paraId="71121BFF" w14:textId="151F9FD1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920 м</w:t>
            </w:r>
          </w:p>
        </w:tc>
      </w:tr>
      <w:tr w:rsidR="00E624EF" w:rsidRPr="004E64AF" w14:paraId="70E1F78B" w14:textId="77777777" w:rsidTr="00204AAF">
        <w:tc>
          <w:tcPr>
            <w:tcW w:w="562" w:type="dxa"/>
          </w:tcPr>
          <w:p w14:paraId="142FBAA4" w14:textId="1F6FF82D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141" w:type="dxa"/>
          </w:tcPr>
          <w:p w14:paraId="0617E7AB" w14:textId="6A29EC0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Грузовик-фургон</w:t>
            </w:r>
          </w:p>
        </w:tc>
        <w:tc>
          <w:tcPr>
            <w:tcW w:w="3352" w:type="dxa"/>
          </w:tcPr>
          <w:p w14:paraId="5E1F468A" w14:textId="63593012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1240 м</w:t>
            </w:r>
          </w:p>
        </w:tc>
      </w:tr>
    </w:tbl>
    <w:p w14:paraId="655154EF" w14:textId="3305B703" w:rsidR="00AD447F" w:rsidRDefault="00AD447F" w:rsidP="007A0DC9">
      <w:pPr>
        <w:overflowPunct/>
        <w:autoSpaceDE/>
        <w:autoSpaceDN/>
        <w:adjustRightInd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D4ABDA9" w14:textId="375AF8DA" w:rsidR="003173ED" w:rsidRPr="003173ED" w:rsidRDefault="003173ED" w:rsidP="003173ED">
      <w:pPr>
        <w:rPr>
          <w:rFonts w:eastAsia="Times New Roman" w:cs="Times New Roman"/>
          <w:sz w:val="28"/>
          <w:szCs w:val="28"/>
        </w:rPr>
      </w:pPr>
    </w:p>
    <w:p w14:paraId="66C7BE5E" w14:textId="77777777" w:rsidR="003173ED" w:rsidRPr="00146713" w:rsidRDefault="003173ED" w:rsidP="003173ED">
      <w:pPr>
        <w:spacing w:after="0" w:line="240" w:lineRule="auto"/>
        <w:ind w:left="4536"/>
        <w:jc w:val="center"/>
        <w:rPr>
          <w:rFonts w:cs="Times New Roman"/>
          <w:b/>
          <w:sz w:val="28"/>
          <w:szCs w:val="28"/>
        </w:rPr>
      </w:pPr>
      <w:r w:rsidRPr="00146713">
        <w:rPr>
          <w:rFonts w:cs="Times New Roman"/>
          <w:b/>
          <w:sz w:val="28"/>
          <w:szCs w:val="28"/>
        </w:rPr>
        <w:t>Аппарат</w:t>
      </w:r>
    </w:p>
    <w:p w14:paraId="17DF16F5" w14:textId="77777777" w:rsidR="003173ED" w:rsidRDefault="003173ED" w:rsidP="003173ED">
      <w:pPr>
        <w:spacing w:after="0" w:line="240" w:lineRule="auto"/>
        <w:ind w:left="4536"/>
        <w:jc w:val="center"/>
        <w:rPr>
          <w:rFonts w:cs="Times New Roman"/>
          <w:b/>
          <w:sz w:val="28"/>
          <w:szCs w:val="28"/>
        </w:rPr>
      </w:pPr>
      <w:r w:rsidRPr="00146713">
        <w:rPr>
          <w:rFonts w:cs="Times New Roman"/>
          <w:b/>
          <w:sz w:val="28"/>
          <w:szCs w:val="28"/>
        </w:rPr>
        <w:t>Антитеррористической комиссии</w:t>
      </w:r>
    </w:p>
    <w:p w14:paraId="648083AD" w14:textId="77777777" w:rsidR="003173ED" w:rsidRDefault="003173ED" w:rsidP="003173ED">
      <w:pPr>
        <w:spacing w:after="0" w:line="240" w:lineRule="auto"/>
        <w:ind w:left="4536"/>
        <w:jc w:val="center"/>
      </w:pPr>
      <w:r w:rsidRPr="00146713">
        <w:rPr>
          <w:rFonts w:cs="Times New Roman"/>
          <w:b/>
          <w:sz w:val="28"/>
          <w:szCs w:val="28"/>
        </w:rPr>
        <w:t>в Республике Дагестан</w:t>
      </w:r>
    </w:p>
    <w:p w14:paraId="59BDF0B2" w14:textId="77777777" w:rsidR="003173ED" w:rsidRPr="003173ED" w:rsidRDefault="003173ED" w:rsidP="003173ED">
      <w:pPr>
        <w:jc w:val="center"/>
        <w:rPr>
          <w:rFonts w:eastAsia="Times New Roman" w:cs="Times New Roman"/>
          <w:sz w:val="28"/>
          <w:szCs w:val="28"/>
        </w:rPr>
      </w:pPr>
    </w:p>
    <w:sectPr w:rsidR="003173ED" w:rsidRPr="003173ED" w:rsidSect="004E64AF">
      <w:headerReference w:type="default" r:id="rId8"/>
      <w:pgSz w:w="11906" w:h="16838"/>
      <w:pgMar w:top="1134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C51BC" w14:textId="77777777" w:rsidR="00FB5A5A" w:rsidRDefault="00FB5A5A" w:rsidP="00E27072">
      <w:pPr>
        <w:spacing w:after="0" w:line="240" w:lineRule="auto"/>
      </w:pPr>
      <w:r>
        <w:separator/>
      </w:r>
    </w:p>
  </w:endnote>
  <w:endnote w:type="continuationSeparator" w:id="0">
    <w:p w14:paraId="157B35B5" w14:textId="77777777" w:rsidR="00FB5A5A" w:rsidRDefault="00FB5A5A" w:rsidP="00E2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9D440" w14:textId="77777777" w:rsidR="00FB5A5A" w:rsidRDefault="00FB5A5A" w:rsidP="00E27072">
      <w:pPr>
        <w:spacing w:after="0" w:line="240" w:lineRule="auto"/>
      </w:pPr>
      <w:r>
        <w:separator/>
      </w:r>
    </w:p>
  </w:footnote>
  <w:footnote w:type="continuationSeparator" w:id="0">
    <w:p w14:paraId="4683B193" w14:textId="77777777" w:rsidR="00FB5A5A" w:rsidRDefault="00FB5A5A" w:rsidP="00E2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559067"/>
      <w:docPartObj>
        <w:docPartGallery w:val="Page Numbers (Top of Page)"/>
        <w:docPartUnique/>
      </w:docPartObj>
    </w:sdtPr>
    <w:sdtEndPr/>
    <w:sdtContent>
      <w:p w14:paraId="27DA8D60" w14:textId="565EE262" w:rsidR="00E27072" w:rsidRDefault="00E270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49D">
          <w:rPr>
            <w:noProof/>
          </w:rPr>
          <w:t>2</w:t>
        </w:r>
        <w:r>
          <w:fldChar w:fldCharType="end"/>
        </w:r>
      </w:p>
    </w:sdtContent>
  </w:sdt>
  <w:p w14:paraId="4EF8ABDD" w14:textId="77777777" w:rsidR="00E27072" w:rsidRDefault="00E2707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DE"/>
    <w:rsid w:val="001C79FE"/>
    <w:rsid w:val="00204AAF"/>
    <w:rsid w:val="00251E02"/>
    <w:rsid w:val="002837E5"/>
    <w:rsid w:val="002E2215"/>
    <w:rsid w:val="003173ED"/>
    <w:rsid w:val="003C4D1A"/>
    <w:rsid w:val="00482A48"/>
    <w:rsid w:val="00494868"/>
    <w:rsid w:val="004E64AF"/>
    <w:rsid w:val="00705B01"/>
    <w:rsid w:val="007A0DC9"/>
    <w:rsid w:val="00890F47"/>
    <w:rsid w:val="008C611B"/>
    <w:rsid w:val="008F049D"/>
    <w:rsid w:val="00A0036F"/>
    <w:rsid w:val="00A70EC6"/>
    <w:rsid w:val="00AD447F"/>
    <w:rsid w:val="00BB51D7"/>
    <w:rsid w:val="00BC30DE"/>
    <w:rsid w:val="00C05BE3"/>
    <w:rsid w:val="00C266C8"/>
    <w:rsid w:val="00C73C8C"/>
    <w:rsid w:val="00D94D3D"/>
    <w:rsid w:val="00DF6B56"/>
    <w:rsid w:val="00E27072"/>
    <w:rsid w:val="00E624EF"/>
    <w:rsid w:val="00EC0035"/>
    <w:rsid w:val="00F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8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C266C8"/>
    <w:rPr>
      <w:color w:val="0000FF"/>
      <w:u w:val="single"/>
    </w:rPr>
  </w:style>
  <w:style w:type="paragraph" w:customStyle="1" w:styleId="rtejustify">
    <w:name w:val="rtejustify"/>
    <w:basedOn w:val="a"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paragraph" w:customStyle="1" w:styleId="rtecenter">
    <w:name w:val="rtecenter"/>
    <w:basedOn w:val="a"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66C8"/>
    <w:rPr>
      <w:b/>
      <w:bCs/>
    </w:rPr>
  </w:style>
  <w:style w:type="character" w:styleId="a6">
    <w:name w:val="Emphasis"/>
    <w:basedOn w:val="a0"/>
    <w:uiPriority w:val="20"/>
    <w:qFormat/>
    <w:rsid w:val="00C266C8"/>
    <w:rPr>
      <w:i/>
      <w:iCs/>
    </w:rPr>
  </w:style>
  <w:style w:type="paragraph" w:styleId="a7">
    <w:name w:val="Normal (Web)"/>
    <w:basedOn w:val="a"/>
    <w:uiPriority w:val="99"/>
    <w:semiHidden/>
    <w:unhideWhenUsed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table" w:styleId="a8">
    <w:name w:val="Table Grid"/>
    <w:basedOn w:val="a1"/>
    <w:uiPriority w:val="39"/>
    <w:rsid w:val="00E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2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072"/>
    <w:rPr>
      <w:rFonts w:ascii="Times New Roman" w:hAnsi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072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C266C8"/>
    <w:rPr>
      <w:color w:val="0000FF"/>
      <w:u w:val="single"/>
    </w:rPr>
  </w:style>
  <w:style w:type="paragraph" w:customStyle="1" w:styleId="rtejustify">
    <w:name w:val="rtejustify"/>
    <w:basedOn w:val="a"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paragraph" w:customStyle="1" w:styleId="rtecenter">
    <w:name w:val="rtecenter"/>
    <w:basedOn w:val="a"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66C8"/>
    <w:rPr>
      <w:b/>
      <w:bCs/>
    </w:rPr>
  </w:style>
  <w:style w:type="character" w:styleId="a6">
    <w:name w:val="Emphasis"/>
    <w:basedOn w:val="a0"/>
    <w:uiPriority w:val="20"/>
    <w:qFormat/>
    <w:rsid w:val="00C266C8"/>
    <w:rPr>
      <w:i/>
      <w:iCs/>
    </w:rPr>
  </w:style>
  <w:style w:type="paragraph" w:styleId="a7">
    <w:name w:val="Normal (Web)"/>
    <w:basedOn w:val="a"/>
    <w:uiPriority w:val="99"/>
    <w:semiHidden/>
    <w:unhideWhenUsed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table" w:styleId="a8">
    <w:name w:val="Table Grid"/>
    <w:basedOn w:val="a1"/>
    <w:uiPriority w:val="39"/>
    <w:rsid w:val="00E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2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072"/>
    <w:rPr>
      <w:rFonts w:ascii="Times New Roman" w:hAnsi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072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8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04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890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3414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482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CB797-020C-4A83-9167-AC5C5B7D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</cp:revision>
  <dcterms:created xsi:type="dcterms:W3CDTF">2024-02-13T08:21:00Z</dcterms:created>
  <dcterms:modified xsi:type="dcterms:W3CDTF">2024-02-13T08:21:00Z</dcterms:modified>
</cp:coreProperties>
</file>